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60" w:line="240" w:lineRule="auto"/>
        <w:keepNext/>
        <w:keepLines/>
      </w:pPr>
      <w:r>
        <w:rPr>
          <w:rFonts w:ascii="Aptos" w:hAnsi="Aptos"/>
          <w:b/>
          <w:i w:val="0"/>
          <w:color w:val="000000"/>
          <w:sz w:val="44"/>
        </w:rPr>
        <w:t>Texas DWI Packet Quick Start Guide</w:t>
      </w:r>
    </w:p>
    <w:p>
      <w:pPr>
        <w:spacing w:before="0" w:after="100" w:line="247" w:lineRule="auto"/>
      </w:pPr>
      <w:r>
        <w:rPr>
          <w:rFonts w:ascii="Georgia" w:hAnsi="Georgia"/>
          <w:b w:val="0"/>
          <w:i w:val="0"/>
          <w:color w:val="1F2937"/>
          <w:sz w:val="22"/>
        </w:rPr>
        <w:t>Workbook setup, form routing, and manual use of the standalone blood warrant training template</w:t>
      </w:r>
    </w:p>
    <w:p>
      <w:pPr>
        <w:spacing w:before="0" w:after="20" w:line="247" w:lineRule="auto"/>
      </w:pPr>
      <w:r>
        <w:rPr>
          <w:rFonts w:ascii="Georgia" w:hAnsi="Georgia"/>
          <w:b/>
          <w:i w:val="0"/>
          <w:color w:val="1F2937"/>
          <w:sz w:val="21"/>
        </w:rPr>
        <w:t>Author Nathan Wells</w:t>
      </w:r>
    </w:p>
    <w:p>
      <w:pPr>
        <w:spacing w:before="0" w:after="140" w:line="247" w:lineRule="auto"/>
      </w:pPr>
      <w:r>
        <w:rPr>
          <w:rFonts w:ascii="Georgia" w:hAnsi="Georgia"/>
          <w:b w:val="0"/>
          <w:i w:val="0"/>
          <w:color w:val="1F2937"/>
          <w:sz w:val="21"/>
        </w:rPr>
        <w:t>Version 1.0.3  |  September 2026</w:t>
      </w:r>
    </w:p>
    <w:p>
      <w:pPr>
        <w:spacing w:before="0" w:after="140" w:line="247" w:lineRule="auto"/>
      </w:pPr>
      <w:r>
        <w:rPr>
          <w:rFonts w:ascii="Georgia" w:hAnsi="Georgia"/>
          <w:b/>
          <w:i w:val="0"/>
          <w:color w:val="1F2937"/>
          <w:sz w:val="20"/>
        </w:rPr>
        <w:t>Training and reference use only. Use fictional or fully sanitized information. Do not enter real criminal justice information, personally identifiable information, or active case facts. Verify current Texas law, agency policy, prosecutor guidance, local forms, and court procedures before any official use.</w:t>
      </w:r>
    </w:p>
    <w:p>
      <w:pPr>
        <w:pStyle w:val="Heading1"/>
        <w:spacing w:before="60" w:after="80" w:line="240" w:lineRule="auto"/>
        <w:keepNext/>
        <w:keepLines/>
      </w:pPr>
      <w:r>
        <w:rPr>
          <w:rFonts w:ascii="Aptos" w:hAnsi="Aptos"/>
          <w:b/>
          <w:i w:val="0"/>
          <w:color w:val="000000"/>
          <w:sz w:val="30"/>
        </w:rPr>
        <w:t>Download the three files separately</w:t>
      </w:r>
    </w:p>
    <w:tbl>
      <w:tblPr>
        <w:tblW w:type="auto" w:w="0"/>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5083"/>
        <w:gridCol w:w="5083"/>
      </w:tblGrid>
      <w:tr>
        <w:tc>
          <w:tcPr>
            <w:tcW w:type="dxa" w:w="5112"/>
            <w:vAlign w:val="center"/>
            <w:tcMar>
              <w:top w:w="80" w:type="dxa"/>
              <w:start w:w="95" w:type="dxa"/>
              <w:bottom w:w="80" w:type="dxa"/>
              <w:end w:w="95" w:type="dxa"/>
            </w:tcMar>
            <w:shd w:fill="073763"/>
          </w:tcPr>
          <w:p>
            <w:pPr>
              <w:spacing w:after="0"/>
            </w:pPr>
            <w:r>
              <w:rPr>
                <w:rFonts w:ascii="Georgia" w:hAnsi="Georgia"/>
                <w:b/>
                <w:color w:val="FFFFFF"/>
                <w:sz w:val="19"/>
              </w:rPr>
            </w:r>
            <w:r>
              <w:rPr>
                <w:rFonts w:ascii="Georgia" w:hAnsi="Georgia"/>
                <w:b/>
                <w:color w:val="FFFFFF"/>
                <w:sz w:val="19"/>
              </w:rPr>
              <w:t>File</w:t>
            </w:r>
          </w:p>
        </w:tc>
        <w:tc>
          <w:tcPr>
            <w:tcW w:type="dxa" w:w="5040"/>
            <w:vAlign w:val="center"/>
            <w:tcMar>
              <w:top w:w="80" w:type="dxa"/>
              <w:start w:w="95" w:type="dxa"/>
              <w:bottom w:w="80" w:type="dxa"/>
              <w:end w:w="95" w:type="dxa"/>
            </w:tcMar>
            <w:shd w:fill="073763"/>
          </w:tcPr>
          <w:p>
            <w:pPr>
              <w:spacing w:after="0"/>
            </w:pPr>
            <w:r>
              <w:rPr>
                <w:rFonts w:ascii="Georgia" w:hAnsi="Georgia"/>
                <w:b/>
                <w:color w:val="FFFFFF"/>
                <w:sz w:val="19"/>
              </w:rPr>
            </w:r>
            <w:r>
              <w:rPr>
                <w:rFonts w:ascii="Georgia" w:hAnsi="Georgia"/>
                <w:b/>
                <w:color w:val="FFFFFF"/>
                <w:sz w:val="19"/>
              </w:rPr>
              <w:t>Purpose</w:t>
            </w:r>
          </w:p>
        </w:tc>
      </w:tr>
      <w:tr>
        <w:tc>
          <w:tcPr>
            <w:tcW w:type="dxa" w:w="5112"/>
            <w:vAlign w:val="center"/>
            <w:tcMar>
              <w:top w:w="80" w:type="dxa"/>
              <w:start w:w="95" w:type="dxa"/>
              <w:bottom w:w="80" w:type="dxa"/>
              <w:end w:w="95" w:type="dxa"/>
            </w:tcMar>
          </w:tcPr>
          <w:p>
            <w:pPr>
              <w:spacing w:after="0"/>
            </w:pPr>
            <w:r>
              <w:rPr>
                <w:rFonts w:ascii="Georgia" w:hAnsi="Georgia"/>
                <w:b w:val="0"/>
                <w:color w:val="1F2937"/>
                <w:sz w:val="19"/>
              </w:rPr>
            </w:r>
            <w:r>
              <w:rPr>
                <w:rFonts w:ascii="Georgia" w:hAnsi="Georgia"/>
                <w:b w:val="0"/>
                <w:color w:val="1F2937"/>
                <w:sz w:val="19"/>
              </w:rPr>
              <w:t>Texas-DWI-Case-Builder-v1.0.3.xlsx</w:t>
            </w:r>
          </w:p>
        </w:tc>
        <w:tc>
          <w:tcPr>
            <w:tcW w:type="dxa" w:w="5040"/>
            <w:vAlign w:val="center"/>
            <w:tcMar>
              <w:top w:w="80" w:type="dxa"/>
              <w:start w:w="95" w:type="dxa"/>
              <w:bottom w:w="80" w:type="dxa"/>
              <w:end w:w="95" w:type="dxa"/>
            </w:tcMar>
          </w:tcPr>
          <w:p>
            <w:pPr>
              <w:spacing w:after="0"/>
            </w:pPr>
            <w:r>
              <w:rPr>
                <w:rFonts w:ascii="Georgia" w:hAnsi="Georgia"/>
                <w:b w:val="0"/>
                <w:color w:val="1F2937"/>
                <w:sz w:val="19"/>
              </w:rPr>
            </w:r>
            <w:r>
              <w:rPr>
                <w:rFonts w:ascii="Georgia" w:hAnsi="Georgia"/>
                <w:b w:val="0"/>
                <w:color w:val="1F2937"/>
                <w:sz w:val="19"/>
              </w:rPr>
              <w:t>Organize fictional DWI facts, identify missing entries, and review training form routing.</w:t>
            </w:r>
          </w:p>
        </w:tc>
      </w:tr>
      <w:tr>
        <w:tc>
          <w:tcPr>
            <w:tcW w:type="dxa" w:w="5112"/>
            <w:vAlign w:val="center"/>
            <w:tcMar>
              <w:top w:w="80" w:type="dxa"/>
              <w:start w:w="95" w:type="dxa"/>
              <w:bottom w:w="80" w:type="dxa"/>
              <w:end w:w="95" w:type="dxa"/>
            </w:tcMar>
            <w:shd w:fill="F2F2F2"/>
          </w:tcPr>
          <w:p>
            <w:pPr>
              <w:spacing w:after="0"/>
            </w:pPr>
            <w:r>
              <w:rPr>
                <w:rFonts w:ascii="Georgia" w:hAnsi="Georgia"/>
                <w:b w:val="0"/>
                <w:color w:val="1F2937"/>
                <w:sz w:val="19"/>
              </w:rPr>
            </w:r>
            <w:r>
              <w:rPr>
                <w:rFonts w:ascii="Georgia" w:hAnsi="Georgia"/>
                <w:b w:val="0"/>
                <w:color w:val="1F2937"/>
                <w:sz w:val="19"/>
              </w:rPr>
              <w:t>Texas-DWI-Blood-Warrant-Template-v1.0.3.docx</w:t>
            </w:r>
          </w:p>
        </w:tc>
        <w:tc>
          <w:tcPr>
            <w:tcW w:type="dxa" w:w="5040"/>
            <w:vAlign w:val="center"/>
            <w:tcMar>
              <w:top w:w="80" w:type="dxa"/>
              <w:start w:w="95" w:type="dxa"/>
              <w:bottom w:w="80" w:type="dxa"/>
              <w:end w:w="95" w:type="dxa"/>
            </w:tcMar>
            <w:shd w:fill="F2F2F2"/>
          </w:tcPr>
          <w:p>
            <w:pPr>
              <w:spacing w:after="0"/>
            </w:pPr>
            <w:r>
              <w:rPr>
                <w:rFonts w:ascii="Georgia" w:hAnsi="Georgia"/>
                <w:b w:val="0"/>
                <w:color w:val="1F2937"/>
                <w:sz w:val="19"/>
              </w:rPr>
            </w:r>
            <w:r>
              <w:rPr>
                <w:rFonts w:ascii="Georgia" w:hAnsi="Georgia"/>
                <w:b w:val="0"/>
                <w:color w:val="1F2937"/>
                <w:sz w:val="19"/>
              </w:rPr>
              <w:t>Manually complete a standalone five-page training template if the exercise calls for warrant practice.</w:t>
            </w:r>
          </w:p>
        </w:tc>
      </w:tr>
      <w:tr>
        <w:tc>
          <w:tcPr>
            <w:tcW w:type="dxa" w:w="5112"/>
            <w:vAlign w:val="center"/>
            <w:tcMar>
              <w:top w:w="80" w:type="dxa"/>
              <w:start w:w="95" w:type="dxa"/>
              <w:bottom w:w="80" w:type="dxa"/>
              <w:end w:w="95" w:type="dxa"/>
            </w:tcMar>
          </w:tcPr>
          <w:p>
            <w:pPr>
              <w:spacing w:after="0"/>
            </w:pPr>
            <w:r>
              <w:rPr>
                <w:rFonts w:ascii="Georgia" w:hAnsi="Georgia"/>
                <w:b w:val="0"/>
                <w:color w:val="1F2937"/>
                <w:sz w:val="19"/>
              </w:rPr>
            </w:r>
            <w:r>
              <w:rPr>
                <w:rFonts w:ascii="Georgia" w:hAnsi="Georgia"/>
                <w:b w:val="0"/>
                <w:color w:val="1F2937"/>
                <w:sz w:val="19"/>
              </w:rPr>
              <w:t>Texas-DWI-Packet-Quick-Start-Guide-v1.0.3.docx</w:t>
            </w:r>
          </w:p>
        </w:tc>
        <w:tc>
          <w:tcPr>
            <w:tcW w:type="dxa" w:w="5040"/>
            <w:vAlign w:val="center"/>
            <w:tcMar>
              <w:top w:w="80" w:type="dxa"/>
              <w:start w:w="95" w:type="dxa"/>
              <w:bottom w:w="80" w:type="dxa"/>
              <w:end w:w="95" w:type="dxa"/>
            </w:tcMar>
          </w:tcPr>
          <w:p>
            <w:pPr>
              <w:spacing w:after="0"/>
            </w:pPr>
            <w:r>
              <w:rPr>
                <w:rFonts w:ascii="Georgia" w:hAnsi="Georgia"/>
                <w:b w:val="0"/>
                <w:color w:val="1F2937"/>
                <w:sz w:val="19"/>
              </w:rPr>
            </w:r>
            <w:r>
              <w:rPr>
                <w:rFonts w:ascii="Georgia" w:hAnsi="Georgia"/>
                <w:b w:val="0"/>
                <w:color w:val="1F2937"/>
                <w:sz w:val="19"/>
              </w:rPr>
              <w:t>Follow the short training workflow and final review checks.</w:t>
            </w:r>
          </w:p>
        </w:tc>
      </w:tr>
    </w:tbl>
    <w:p>
      <w:pPr>
        <w:spacing w:before="100" w:after="120" w:line="247" w:lineRule="auto"/>
      </w:pPr>
      <w:r>
        <w:rPr>
          <w:rFonts w:ascii="Georgia" w:hAnsi="Georgia"/>
          <w:b/>
          <w:i w:val="0"/>
          <w:color w:val="1F2937"/>
          <w:sz w:val="20"/>
        </w:rPr>
        <w:t>There is no ZIP file. The workbook and Word documents are separate downloads. The workbook does not connect to or fill the warrant template.</w:t>
      </w:r>
    </w:p>
    <w:p>
      <w:pPr>
        <w:pStyle w:val="Heading1"/>
        <w:spacing w:before="60" w:after="80" w:line="240" w:lineRule="auto"/>
        <w:keepNext/>
        <w:keepLines/>
      </w:pPr>
      <w:r>
        <w:rPr>
          <w:rFonts w:ascii="Aptos" w:hAnsi="Aptos"/>
          <w:b/>
          <w:i w:val="0"/>
          <w:color w:val="000000"/>
          <w:sz w:val="30"/>
        </w:rPr>
        <w:t>Before you start</w:t>
      </w:r>
    </w:p>
    <w:p>
      <w:pPr>
        <w:spacing w:before="0" w:after="60" w:line="247" w:lineRule="auto"/>
      </w:pPr>
      <w:r>
        <w:rPr>
          <w:rFonts w:ascii="Georgia" w:hAnsi="Georgia"/>
          <w:b w:val="0"/>
          <w:i w:val="0"/>
          <w:color w:val="1F2937"/>
          <w:sz w:val="20"/>
        </w:rPr>
        <w:t>□ Keep the clean download unchanged and save a separate exercise copy with a fictional training identifier.</w:t>
      </w:r>
    </w:p>
    <w:p>
      <w:pPr>
        <w:spacing w:before="0" w:after="60" w:line="247" w:lineRule="auto"/>
      </w:pPr>
      <w:r>
        <w:rPr>
          <w:rFonts w:ascii="Georgia" w:hAnsi="Georgia"/>
          <w:b w:val="0"/>
          <w:i w:val="0"/>
          <w:color w:val="1F2937"/>
          <w:sz w:val="20"/>
        </w:rPr>
        <w:t>□ Confirm that every name, date, identifier, location, and narrative fact is fictional or fully sanitized.</w:t>
      </w:r>
    </w:p>
    <w:p>
      <w:pPr>
        <w:spacing w:before="0" w:after="60" w:line="247" w:lineRule="auto"/>
      </w:pPr>
      <w:r>
        <w:rPr>
          <w:rFonts w:ascii="Georgia" w:hAnsi="Georgia"/>
          <w:b w:val="0"/>
          <w:i w:val="0"/>
          <w:color w:val="1F2937"/>
          <w:sz w:val="20"/>
        </w:rPr>
        <w:t>□ Review the fictional or sanitized County Routing entries before evaluating the workbook's output.</w:t>
      </w:r>
    </w:p>
    <w:p>
      <w:pPr>
        <w:spacing w:before="0" w:after="60" w:line="247" w:lineRule="auto"/>
      </w:pPr>
      <w:r>
        <w:rPr>
          <w:rFonts w:ascii="Georgia" w:hAnsi="Georgia"/>
          <w:b w:val="0"/>
          <w:i w:val="0"/>
          <w:color w:val="1F2937"/>
          <w:sz w:val="20"/>
        </w:rPr>
        <w:t>□ Use the workbook and Word template as training aids. They do not make legal decisions or replace current official forms.</w:t>
      </w:r>
    </w:p>
    <w:p>
      <w:r>
        <w:br w:type="page"/>
      </w:r>
    </w:p>
    <w:p>
      <w:pPr>
        <w:pStyle w:val="Heading1"/>
        <w:spacing w:before="0" w:after="100" w:line="240" w:lineRule="auto"/>
        <w:keepNext/>
        <w:keepLines/>
      </w:pPr>
      <w:r>
        <w:rPr>
          <w:rFonts w:ascii="Aptos" w:hAnsi="Aptos"/>
          <w:b/>
          <w:i w:val="0"/>
          <w:color w:val="000000"/>
          <w:sz w:val="30"/>
        </w:rPr>
        <w:t>Simple training workflow</w:t>
      </w:r>
    </w:p>
    <w:p>
      <w:pPr>
        <w:pStyle w:val="Heading2"/>
        <w:spacing w:before="40" w:after="20" w:line="240" w:lineRule="auto"/>
        <w:keepNext/>
        <w:keepLines/>
      </w:pPr>
      <w:r>
        <w:rPr>
          <w:rFonts w:ascii="Aptos" w:hAnsi="Aptos"/>
          <w:b/>
          <w:i w:val="0"/>
          <w:color w:val="000000"/>
          <w:sz w:val="24"/>
        </w:rPr>
        <w:t>1  Save a working copy</w:t>
      </w:r>
    </w:p>
    <w:p>
      <w:pPr>
        <w:spacing w:before="0" w:after="80" w:line="247" w:lineRule="auto"/>
      </w:pPr>
      <w:r>
        <w:rPr>
          <w:rFonts w:ascii="Georgia" w:hAnsi="Georgia"/>
          <w:b w:val="0"/>
          <w:i w:val="0"/>
          <w:color w:val="1F2937"/>
          <w:sz w:val="20"/>
        </w:rPr>
        <w:t>Open the workbook and immediately save a separate exercise copy. Keep the clean public copy unchanged.</w:t>
      </w:r>
    </w:p>
    <w:p>
      <w:pPr>
        <w:pStyle w:val="Heading2"/>
        <w:spacing w:before="40" w:after="20" w:line="240" w:lineRule="auto"/>
        <w:keepNext/>
        <w:keepLines/>
      </w:pPr>
      <w:r>
        <w:rPr>
          <w:rFonts w:ascii="Aptos" w:hAnsi="Aptos"/>
          <w:b/>
          <w:i w:val="0"/>
          <w:color w:val="000000"/>
          <w:sz w:val="24"/>
        </w:rPr>
        <w:t>2  Complete Encounter</w:t>
      </w:r>
    </w:p>
    <w:p>
      <w:pPr>
        <w:spacing w:before="0" w:after="80" w:line="247" w:lineRule="auto"/>
      </w:pPr>
      <w:r>
        <w:rPr>
          <w:rFonts w:ascii="Georgia" w:hAnsi="Georgia"/>
          <w:b w:val="0"/>
          <w:i w:val="0"/>
          <w:color w:val="1F2937"/>
          <w:sz w:val="20"/>
        </w:rPr>
        <w:t>Enter the assigned fictional exercise facts from top to bottom. Use first person for the officer narrative and keep control of every statement.</w:t>
      </w:r>
    </w:p>
    <w:p>
      <w:pPr>
        <w:pStyle w:val="Heading2"/>
        <w:spacing w:before="40" w:after="20" w:line="240" w:lineRule="auto"/>
        <w:keepNext/>
        <w:keepLines/>
      </w:pPr>
      <w:r>
        <w:rPr>
          <w:rFonts w:ascii="Aptos" w:hAnsi="Aptos"/>
          <w:b/>
          <w:i w:val="0"/>
          <w:color w:val="000000"/>
          <w:sz w:val="24"/>
        </w:rPr>
        <w:t>3  Resolve missing items and review routing</w:t>
      </w:r>
    </w:p>
    <w:p>
      <w:pPr>
        <w:spacing w:before="0" w:after="80" w:line="247" w:lineRule="auto"/>
      </w:pPr>
      <w:r>
        <w:rPr>
          <w:rFonts w:ascii="Georgia" w:hAnsi="Georgia"/>
          <w:b w:val="0"/>
          <w:i w:val="0"/>
          <w:color w:val="1F2937"/>
          <w:sz w:val="20"/>
        </w:rPr>
        <w:t>Use the messages at the top of Encounter. Then open Which Forms Do I Need and compare each result with the exercise key and current official guidance.</w:t>
      </w:r>
    </w:p>
    <w:p>
      <w:pPr>
        <w:pStyle w:val="Heading2"/>
        <w:spacing w:before="40" w:after="20" w:line="240" w:lineRule="auto"/>
        <w:keepNext/>
        <w:keepLines/>
      </w:pPr>
      <w:r>
        <w:rPr>
          <w:rFonts w:ascii="Aptos" w:hAnsi="Aptos"/>
          <w:b/>
          <w:i w:val="0"/>
          <w:color w:val="000000"/>
          <w:sz w:val="24"/>
        </w:rPr>
        <w:t>4  Use the warrant checklist only when needed</w:t>
      </w:r>
    </w:p>
    <w:p>
      <w:pPr>
        <w:spacing w:before="0" w:after="80" w:line="247" w:lineRule="auto"/>
      </w:pPr>
      <w:r>
        <w:rPr>
          <w:rFonts w:ascii="Georgia" w:hAnsi="Georgia"/>
          <w:b w:val="0"/>
          <w:i w:val="0"/>
          <w:color w:val="1F2937"/>
          <w:sz w:val="20"/>
        </w:rPr>
        <w:t>For a fictional refusal path, open Warrant Facts. It is a manual preparation checklist. It does not create a warrant or transfer data to Word.</w:t>
      </w:r>
    </w:p>
    <w:p>
      <w:pPr>
        <w:pStyle w:val="Heading2"/>
        <w:spacing w:before="40" w:after="20" w:line="240" w:lineRule="auto"/>
        <w:keepNext/>
        <w:keepLines/>
      </w:pPr>
      <w:r>
        <w:rPr>
          <w:rFonts w:ascii="Aptos" w:hAnsi="Aptos"/>
          <w:b/>
          <w:i w:val="0"/>
          <w:color w:val="000000"/>
          <w:sz w:val="24"/>
        </w:rPr>
        <w:t>5  Complete the Word template manually if assigned</w:t>
      </w:r>
    </w:p>
    <w:p>
      <w:pPr>
        <w:spacing w:before="0" w:after="80" w:line="247" w:lineRule="auto"/>
      </w:pPr>
      <w:r>
        <w:rPr>
          <w:rFonts w:ascii="Georgia" w:hAnsi="Georgia"/>
          <w:b w:val="0"/>
          <w:i w:val="0"/>
          <w:color w:val="1F2937"/>
          <w:sz w:val="20"/>
        </w:rPr>
        <w:t>Open the standalone warrant training template and replace each bracketed prompt by typing the fictional facts. Review all five pages. Do not perform a mail merge.</w:t>
      </w:r>
    </w:p>
    <w:p>
      <w:pPr>
        <w:pStyle w:val="Heading1"/>
        <w:spacing w:before="80" w:after="80" w:line="240" w:lineRule="auto"/>
        <w:keepNext/>
        <w:keepLines/>
      </w:pPr>
      <w:r>
        <w:rPr>
          <w:rFonts w:ascii="Aptos" w:hAnsi="Aptos"/>
          <w:b/>
          <w:i w:val="0"/>
          <w:color w:val="000000"/>
          <w:sz w:val="30"/>
        </w:rPr>
        <w:t>What workbook completion means</w:t>
      </w:r>
    </w:p>
    <w:p>
      <w:pPr>
        <w:spacing w:before="0" w:after="120" w:line="247" w:lineRule="auto"/>
      </w:pPr>
      <w:r>
        <w:rPr>
          <w:rFonts w:ascii="Georgia" w:hAnsi="Georgia"/>
          <w:b/>
          <w:i w:val="0"/>
          <w:color w:val="1F2937"/>
          <w:sz w:val="20"/>
        </w:rPr>
        <w:t>A completed workbook status means the required entries for the selected fictional training path are filled and pass the workbook's validation checks. It does not mean that a warrant, prosecution file, court filing, or legal process is complete, approved, or legally ready.</w:t>
      </w:r>
    </w:p>
    <w:p>
      <w:pPr>
        <w:pStyle w:val="Heading1"/>
        <w:spacing w:before="40" w:after="80" w:line="240" w:lineRule="auto"/>
        <w:keepNext/>
        <w:keepLines/>
      </w:pPr>
      <w:r>
        <w:rPr>
          <w:rFonts w:ascii="Aptos" w:hAnsi="Aptos"/>
          <w:b/>
          <w:i w:val="0"/>
          <w:color w:val="000000"/>
          <w:sz w:val="30"/>
        </w:rPr>
        <w:t>If a problem appears</w:t>
      </w:r>
    </w:p>
    <w:tbl>
      <w:tblPr>
        <w:tblW w:type="auto" w:w="0"/>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5083"/>
        <w:gridCol w:w="5083"/>
      </w:tblGrid>
      <w:tr>
        <w:tc>
          <w:tcPr>
            <w:tcW w:type="dxa" w:w="4680"/>
            <w:vAlign w:val="center"/>
            <w:tcMar>
              <w:top w:w="80" w:type="dxa"/>
              <w:start w:w="95" w:type="dxa"/>
              <w:bottom w:w="80" w:type="dxa"/>
              <w:end w:w="95" w:type="dxa"/>
            </w:tcMar>
            <w:shd w:fill="073763"/>
          </w:tcPr>
          <w:p>
            <w:pPr>
              <w:spacing w:after="0"/>
            </w:pPr>
            <w:r>
              <w:rPr>
                <w:rFonts w:ascii="Georgia" w:hAnsi="Georgia"/>
                <w:b/>
                <w:color w:val="FFFFFF"/>
                <w:sz w:val="19"/>
              </w:rPr>
            </w:r>
            <w:r>
              <w:rPr>
                <w:rFonts w:ascii="Georgia" w:hAnsi="Georgia"/>
                <w:b/>
                <w:color w:val="FFFFFF"/>
                <w:sz w:val="19"/>
              </w:rPr>
              <w:t>Observed problem</w:t>
            </w:r>
          </w:p>
        </w:tc>
        <w:tc>
          <w:tcPr>
            <w:tcW w:type="dxa" w:w="5472"/>
            <w:vAlign w:val="center"/>
            <w:tcMar>
              <w:top w:w="80" w:type="dxa"/>
              <w:start w:w="95" w:type="dxa"/>
              <w:bottom w:w="80" w:type="dxa"/>
              <w:end w:w="95" w:type="dxa"/>
            </w:tcMar>
            <w:shd w:fill="073763"/>
          </w:tcPr>
          <w:p>
            <w:pPr>
              <w:spacing w:after="0"/>
            </w:pPr>
            <w:r>
              <w:rPr>
                <w:rFonts w:ascii="Georgia" w:hAnsi="Georgia"/>
                <w:b/>
                <w:color w:val="FFFFFF"/>
                <w:sz w:val="19"/>
              </w:rPr>
            </w:r>
            <w:r>
              <w:rPr>
                <w:rFonts w:ascii="Georgia" w:hAnsi="Georgia"/>
                <w:b/>
                <w:color w:val="FFFFFF"/>
                <w:sz w:val="19"/>
              </w:rPr>
              <w:t>First check</w:t>
            </w:r>
          </w:p>
        </w:tc>
      </w:tr>
      <w:tr>
        <w:tc>
          <w:tcPr>
            <w:tcW w:type="dxa" w:w="4680"/>
            <w:vAlign w:val="center"/>
            <w:tcMar>
              <w:top w:w="80" w:type="dxa"/>
              <w:start w:w="95" w:type="dxa"/>
              <w:bottom w:w="80" w:type="dxa"/>
              <w:end w:w="95" w:type="dxa"/>
            </w:tcMar>
          </w:tcPr>
          <w:p>
            <w:pPr>
              <w:spacing w:after="0"/>
            </w:pPr>
            <w:r>
              <w:rPr>
                <w:rFonts w:ascii="Georgia" w:hAnsi="Georgia"/>
                <w:b w:val="0"/>
                <w:color w:val="1F2937"/>
                <w:sz w:val="19"/>
              </w:rPr>
            </w:r>
            <w:r>
              <w:rPr>
                <w:rFonts w:ascii="Georgia" w:hAnsi="Georgia"/>
                <w:b w:val="0"/>
                <w:color w:val="1F2937"/>
                <w:sz w:val="19"/>
              </w:rPr>
              <w:t>The banner still lists missing items</w:t>
            </w:r>
          </w:p>
        </w:tc>
        <w:tc>
          <w:tcPr>
            <w:tcW w:type="dxa" w:w="5472"/>
            <w:vAlign w:val="center"/>
            <w:tcMar>
              <w:top w:w="80" w:type="dxa"/>
              <w:start w:w="95" w:type="dxa"/>
              <w:bottom w:w="80" w:type="dxa"/>
              <w:end w:w="95" w:type="dxa"/>
            </w:tcMar>
          </w:tcPr>
          <w:p>
            <w:pPr>
              <w:spacing w:after="0"/>
            </w:pPr>
            <w:r>
              <w:rPr>
                <w:rFonts w:ascii="Georgia" w:hAnsi="Georgia"/>
                <w:b w:val="0"/>
                <w:color w:val="1F2937"/>
                <w:sz w:val="19"/>
              </w:rPr>
            </w:r>
            <w:r>
              <w:rPr>
                <w:rFonts w:ascii="Georgia" w:hAnsi="Georgia"/>
                <w:b w:val="0"/>
                <w:color w:val="1F2937"/>
                <w:sz w:val="19"/>
              </w:rPr>
              <w:t>Complete the named fields for the selected path. Do not enter filler text.</w:t>
            </w:r>
          </w:p>
        </w:tc>
      </w:tr>
      <w:tr>
        <w:tc>
          <w:tcPr>
            <w:tcW w:type="dxa" w:w="4680"/>
            <w:vAlign w:val="center"/>
            <w:tcMar>
              <w:top w:w="80" w:type="dxa"/>
              <w:start w:w="95" w:type="dxa"/>
              <w:bottom w:w="80" w:type="dxa"/>
              <w:end w:w="95" w:type="dxa"/>
            </w:tcMar>
            <w:shd w:fill="F2F2F2"/>
          </w:tcPr>
          <w:p>
            <w:pPr>
              <w:spacing w:after="0"/>
            </w:pPr>
            <w:r>
              <w:rPr>
                <w:rFonts w:ascii="Georgia" w:hAnsi="Georgia"/>
                <w:b w:val="0"/>
                <w:color w:val="1F2937"/>
                <w:sz w:val="19"/>
              </w:rPr>
            </w:r>
            <w:r>
              <w:rPr>
                <w:rFonts w:ascii="Georgia" w:hAnsi="Georgia"/>
                <w:b w:val="0"/>
                <w:color w:val="1F2937"/>
                <w:sz w:val="19"/>
              </w:rPr>
              <w:t>The banner says entries are filled but shows problems</w:t>
            </w:r>
          </w:p>
        </w:tc>
        <w:tc>
          <w:tcPr>
            <w:tcW w:type="dxa" w:w="5472"/>
            <w:vAlign w:val="center"/>
            <w:tcMar>
              <w:top w:w="80" w:type="dxa"/>
              <w:start w:w="95" w:type="dxa"/>
              <w:bottom w:w="80" w:type="dxa"/>
              <w:end w:w="95" w:type="dxa"/>
            </w:tcMar>
            <w:shd w:fill="F2F2F2"/>
          </w:tcPr>
          <w:p>
            <w:pPr>
              <w:spacing w:after="0"/>
            </w:pPr>
            <w:r>
              <w:rPr>
                <w:rFonts w:ascii="Georgia" w:hAnsi="Georgia"/>
                <w:b w:val="0"/>
                <w:color w:val="1F2937"/>
                <w:sz w:val="19"/>
              </w:rPr>
            </w:r>
            <w:r>
              <w:rPr>
                <w:rFonts w:ascii="Georgia" w:hAnsi="Georgia"/>
                <w:b w:val="0"/>
                <w:color w:val="1F2937"/>
                <w:sz w:val="19"/>
              </w:rPr>
              <w:t>Read each problem message and correct the conflicting or invalid input.</w:t>
            </w:r>
          </w:p>
        </w:tc>
      </w:tr>
      <w:tr>
        <w:tc>
          <w:tcPr>
            <w:tcW w:type="dxa" w:w="4680"/>
            <w:vAlign w:val="center"/>
            <w:tcMar>
              <w:top w:w="80" w:type="dxa"/>
              <w:start w:w="95" w:type="dxa"/>
              <w:bottom w:w="80" w:type="dxa"/>
              <w:end w:w="95" w:type="dxa"/>
            </w:tcMar>
          </w:tcPr>
          <w:p>
            <w:pPr>
              <w:spacing w:after="0"/>
            </w:pPr>
            <w:r>
              <w:rPr>
                <w:rFonts w:ascii="Georgia" w:hAnsi="Georgia"/>
                <w:b w:val="0"/>
                <w:color w:val="1F2937"/>
                <w:sz w:val="19"/>
              </w:rPr>
            </w:r>
            <w:r>
              <w:rPr>
                <w:rFonts w:ascii="Georgia" w:hAnsi="Georgia"/>
                <w:b w:val="0"/>
                <w:color w:val="1F2937"/>
                <w:sz w:val="19"/>
              </w:rPr>
              <w:t>A form route seems wrong</w:t>
            </w:r>
          </w:p>
        </w:tc>
        <w:tc>
          <w:tcPr>
            <w:tcW w:type="dxa" w:w="5472"/>
            <w:vAlign w:val="center"/>
            <w:tcMar>
              <w:top w:w="80" w:type="dxa"/>
              <w:start w:w="95" w:type="dxa"/>
              <w:bottom w:w="80" w:type="dxa"/>
              <w:end w:w="95" w:type="dxa"/>
            </w:tcMar>
          </w:tcPr>
          <w:p>
            <w:pPr>
              <w:spacing w:after="0"/>
            </w:pPr>
            <w:r>
              <w:rPr>
                <w:rFonts w:ascii="Georgia" w:hAnsi="Georgia"/>
                <w:b w:val="0"/>
                <w:color w:val="1F2937"/>
                <w:sz w:val="19"/>
              </w:rPr>
            </w:r>
            <w:r>
              <w:rPr>
                <w:rFonts w:ascii="Georgia" w:hAnsi="Georgia"/>
                <w:b w:val="0"/>
                <w:color w:val="1F2937"/>
                <w:sz w:val="19"/>
              </w:rPr>
              <w:t>Recheck the specimen, response, age, language, CMV, CDL, and result entries. Then compare with current official guidance.</w:t>
            </w:r>
          </w:p>
        </w:tc>
      </w:tr>
    </w:tbl>
    <w:p>
      <w:r>
        <w:br w:type="page"/>
      </w:r>
    </w:p>
    <w:p>
      <w:pPr>
        <w:pStyle w:val="Heading1"/>
        <w:spacing w:before="0" w:after="100" w:line="240" w:lineRule="auto"/>
        <w:keepNext/>
        <w:keepLines/>
      </w:pPr>
      <w:r>
        <w:rPr>
          <w:rFonts w:ascii="Aptos" w:hAnsi="Aptos"/>
          <w:b/>
          <w:i w:val="0"/>
          <w:color w:val="000000"/>
          <w:sz w:val="30"/>
        </w:rPr>
        <w:t>Final review checklist</w:t>
      </w:r>
    </w:p>
    <w:tbl>
      <w:tblPr>
        <w:tblW w:type="auto" w:w="0"/>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5083"/>
        <w:gridCol w:w="5083"/>
      </w:tblGrid>
      <w:tr>
        <w:tc>
          <w:tcPr>
            <w:tcW w:type="dxa" w:w="5112"/>
            <w:vAlign w:val="center"/>
            <w:tcMar>
              <w:top w:w="85" w:type="dxa"/>
              <w:start w:w="95" w:type="dxa"/>
              <w:bottom w:w="85" w:type="dxa"/>
              <w:end w:w="95" w:type="dxa"/>
            </w:tcMar>
          </w:tcPr>
          <w:p>
            <w:pPr>
              <w:spacing w:after="0"/>
            </w:pPr>
            <w:r/>
            <w:r>
              <w:rPr>
                <w:rFonts w:ascii="Georgia" w:hAnsi="Georgia"/>
                <w:b w:val="0"/>
                <w:color w:val="1F2937"/>
                <w:sz w:val="18"/>
              </w:rPr>
              <w:t>□ Clean download preserved and fictional working copy created</w:t>
            </w:r>
          </w:p>
        </w:tc>
        <w:tc>
          <w:tcPr>
            <w:tcW w:type="dxa" w:w="5112"/>
            <w:vAlign w:val="center"/>
            <w:tcMar>
              <w:top w:w="85" w:type="dxa"/>
              <w:start w:w="95" w:type="dxa"/>
              <w:bottom w:w="85" w:type="dxa"/>
              <w:end w:w="95" w:type="dxa"/>
            </w:tcMar>
          </w:tcPr>
          <w:p>
            <w:pPr>
              <w:spacing w:after="0"/>
            </w:pPr>
            <w:r/>
            <w:r>
              <w:rPr>
                <w:rFonts w:ascii="Georgia" w:hAnsi="Georgia"/>
                <w:b w:val="0"/>
                <w:color w:val="1F2937"/>
                <w:sz w:val="18"/>
              </w:rPr>
              <w:t>□ Warrant Facts was used only as a manual checklist</w:t>
            </w:r>
          </w:p>
        </w:tc>
      </w:tr>
      <w:tr>
        <w:tc>
          <w:tcPr>
            <w:tcW w:type="dxa" w:w="5112"/>
            <w:shd w:fill="F2F2F2"/>
            <w:vAlign w:val="center"/>
            <w:tcMar>
              <w:top w:w="85" w:type="dxa"/>
              <w:start w:w="95" w:type="dxa"/>
              <w:bottom w:w="85" w:type="dxa"/>
              <w:end w:w="95" w:type="dxa"/>
            </w:tcMar>
          </w:tcPr>
          <w:p>
            <w:pPr>
              <w:spacing w:after="0"/>
            </w:pPr>
            <w:r/>
            <w:r>
              <w:rPr>
                <w:rFonts w:ascii="Georgia" w:hAnsi="Georgia"/>
                <w:b w:val="0"/>
                <w:color w:val="1F2937"/>
                <w:sz w:val="18"/>
              </w:rPr>
              <w:t>□ Every entry is fictional or fully sanitized</w:t>
            </w:r>
          </w:p>
        </w:tc>
        <w:tc>
          <w:tcPr>
            <w:tcW w:type="dxa" w:w="5112"/>
            <w:shd w:fill="F2F2F2"/>
            <w:vAlign w:val="center"/>
            <w:tcMar>
              <w:top w:w="85" w:type="dxa"/>
              <w:start w:w="95" w:type="dxa"/>
              <w:bottom w:w="85" w:type="dxa"/>
              <w:end w:w="95" w:type="dxa"/>
            </w:tcMar>
          </w:tcPr>
          <w:p>
            <w:pPr>
              <w:spacing w:after="0"/>
            </w:pPr>
            <w:r/>
            <w:r>
              <w:rPr>
                <w:rFonts w:ascii="Georgia" w:hAnsi="Georgia"/>
                <w:b w:val="0"/>
                <w:color w:val="1F2937"/>
                <w:sz w:val="18"/>
              </w:rPr>
              <w:t>□ Standalone Word template was typed manually with no mail merge</w:t>
            </w:r>
          </w:p>
        </w:tc>
      </w:tr>
      <w:tr>
        <w:tc>
          <w:tcPr>
            <w:tcW w:type="dxa" w:w="5112"/>
            <w:vAlign w:val="center"/>
            <w:tcMar>
              <w:top w:w="85" w:type="dxa"/>
              <w:start w:w="95" w:type="dxa"/>
              <w:bottom w:w="85" w:type="dxa"/>
              <w:end w:w="95" w:type="dxa"/>
            </w:tcMar>
          </w:tcPr>
          <w:p>
            <w:pPr>
              <w:spacing w:after="0"/>
            </w:pPr>
            <w:r/>
            <w:r>
              <w:rPr>
                <w:rFonts w:ascii="Georgia" w:hAnsi="Georgia"/>
                <w:b w:val="0"/>
                <w:color w:val="1F2937"/>
                <w:sz w:val="18"/>
              </w:rPr>
              <w:t>□ Encounter entries are complete and accurate for the selected path</w:t>
            </w:r>
          </w:p>
        </w:tc>
        <w:tc>
          <w:tcPr>
            <w:tcW w:type="dxa" w:w="5112"/>
            <w:vAlign w:val="center"/>
            <w:tcMar>
              <w:top w:w="85" w:type="dxa"/>
              <w:start w:w="95" w:type="dxa"/>
              <w:bottom w:w="85" w:type="dxa"/>
              <w:end w:w="95" w:type="dxa"/>
            </w:tcMar>
          </w:tcPr>
          <w:p>
            <w:pPr>
              <w:spacing w:after="0"/>
            </w:pPr>
            <w:r/>
            <w:r>
              <w:rPr>
                <w:rFonts w:ascii="Georgia" w:hAnsi="Georgia"/>
                <w:b w:val="0"/>
                <w:color w:val="1F2937"/>
                <w:sz w:val="18"/>
              </w:rPr>
              <w:t>□ Every bracketed prompt in the Word template was completed or intentionally removed after review</w:t>
            </w:r>
          </w:p>
        </w:tc>
      </w:tr>
      <w:tr>
        <w:tc>
          <w:tcPr>
            <w:tcW w:type="dxa" w:w="5112"/>
            <w:shd w:fill="F2F2F2"/>
            <w:vAlign w:val="center"/>
            <w:tcMar>
              <w:top w:w="85" w:type="dxa"/>
              <w:start w:w="95" w:type="dxa"/>
              <w:bottom w:w="85" w:type="dxa"/>
              <w:end w:w="95" w:type="dxa"/>
            </w:tcMar>
          </w:tcPr>
          <w:p>
            <w:pPr>
              <w:spacing w:after="0"/>
            </w:pPr>
            <w:r/>
            <w:r>
              <w:rPr>
                <w:rFonts w:ascii="Georgia" w:hAnsi="Georgia"/>
                <w:b w:val="0"/>
                <w:color w:val="1F2937"/>
                <w:sz w:val="18"/>
              </w:rPr>
              <w:t>□ Contradictory specimen and result entries are resolved</w:t>
            </w:r>
          </w:p>
        </w:tc>
        <w:tc>
          <w:tcPr>
            <w:tcW w:type="dxa" w:w="5112"/>
            <w:shd w:fill="F2F2F2"/>
            <w:vAlign w:val="center"/>
            <w:tcMar>
              <w:top w:w="85" w:type="dxa"/>
              <w:start w:w="95" w:type="dxa"/>
              <w:bottom w:w="85" w:type="dxa"/>
              <w:end w:w="95" w:type="dxa"/>
            </w:tcMar>
          </w:tcPr>
          <w:p>
            <w:pPr>
              <w:spacing w:after="0"/>
            </w:pPr>
            <w:r/>
            <w:r>
              <w:rPr>
                <w:rFonts w:ascii="Georgia" w:hAnsi="Georgia"/>
                <w:b w:val="0"/>
                <w:color w:val="1F2937"/>
                <w:sz w:val="18"/>
              </w:rPr>
              <w:t>□ Current law, agency policy, prosecutor guidance, local forms, and court procedures were verified</w:t>
            </w:r>
          </w:p>
        </w:tc>
      </w:tr>
      <w:tr>
        <w:tc>
          <w:tcPr>
            <w:tcW w:type="dxa" w:w="5112"/>
            <w:vAlign w:val="center"/>
            <w:tcMar>
              <w:top w:w="85" w:type="dxa"/>
              <w:start w:w="95" w:type="dxa"/>
              <w:bottom w:w="85" w:type="dxa"/>
              <w:end w:w="95" w:type="dxa"/>
            </w:tcMar>
          </w:tcPr>
          <w:p>
            <w:pPr>
              <w:spacing w:after="0"/>
            </w:pPr>
            <w:r/>
            <w:r>
              <w:rPr>
                <w:rFonts w:ascii="Georgia" w:hAnsi="Georgia"/>
                <w:b w:val="0"/>
                <w:color w:val="1F2937"/>
                <w:sz w:val="18"/>
              </w:rPr>
              <w:t>□ Required blood or urine routing details are complete when a specimen was obtained</w:t>
            </w:r>
          </w:p>
        </w:tc>
        <w:tc>
          <w:tcPr>
            <w:tcW w:type="dxa" w:w="5112"/>
            <w:vAlign w:val="center"/>
            <w:tcMar>
              <w:top w:w="85" w:type="dxa"/>
              <w:start w:w="95" w:type="dxa"/>
              <w:bottom w:w="85" w:type="dxa"/>
              <w:end w:w="95" w:type="dxa"/>
            </w:tcMar>
          </w:tcPr>
          <w:p>
            <w:pPr>
              <w:spacing w:after="0"/>
            </w:pPr>
            <w:r/>
            <w:r>
              <w:rPr>
                <w:rFonts w:ascii="Georgia" w:hAnsi="Georgia"/>
                <w:b w:val="0"/>
                <w:color w:val="1F2937"/>
                <w:sz w:val="18"/>
              </w:rPr>
              <w:t>□ Instructor or supervisor review is complete with no operational approval implied</w:t>
            </w:r>
          </w:p>
        </w:tc>
      </w:tr>
      <w:tr>
        <w:tc>
          <w:tcPr>
            <w:tcW w:type="dxa" w:w="5112"/>
            <w:shd w:fill="F2F2F2"/>
            <w:vAlign w:val="center"/>
            <w:tcMar>
              <w:top w:w="85" w:type="dxa"/>
              <w:start w:w="95" w:type="dxa"/>
              <w:bottom w:w="85" w:type="dxa"/>
              <w:end w:w="95" w:type="dxa"/>
            </w:tcMar>
          </w:tcPr>
          <w:p>
            <w:pPr>
              <w:spacing w:after="0"/>
            </w:pPr>
            <w:r/>
            <w:r>
              <w:rPr>
                <w:rFonts w:ascii="Georgia" w:hAnsi="Georgia"/>
                <w:b w:val="0"/>
                <w:color w:val="1F2937"/>
                <w:sz w:val="18"/>
              </w:rPr>
              <w:t>□ Form routing was checked against current official guidance</w:t>
            </w:r>
          </w:p>
        </w:tc>
        <w:tc>
          <w:tcPr>
            <w:tcW w:type="dxa" w:w="5112"/>
            <w:shd w:fill="F2F2F2"/>
            <w:vAlign w:val="center"/>
            <w:tcMar>
              <w:top w:w="85" w:type="dxa"/>
              <w:start w:w="95" w:type="dxa"/>
              <w:bottom w:w="85" w:type="dxa"/>
              <w:end w:w="95" w:type="dxa"/>
            </w:tcMar>
          </w:tcPr>
          <w:p>
            <w:pPr>
              <w:spacing w:after="0"/>
            </w:pPr>
            <w:r/>
            <w:r>
              <w:rPr>
                <w:rFonts w:ascii="Georgia" w:hAnsi="Georgia"/>
                <w:b w:val="0"/>
                <w:color w:val="1F2937"/>
                <w:sz w:val="18"/>
              </w:rPr>
            </w:r>
          </w:p>
        </w:tc>
      </w:tr>
    </w:tbl>
    <w:p>
      <w:pPr>
        <w:pStyle w:val="Heading1"/>
        <w:spacing w:before="160" w:after="80" w:line="240" w:lineRule="auto"/>
        <w:keepNext/>
        <w:keepLines/>
      </w:pPr>
      <w:r>
        <w:rPr>
          <w:rFonts w:ascii="Aptos" w:hAnsi="Aptos"/>
          <w:b/>
          <w:i w:val="0"/>
          <w:color w:val="000000"/>
          <w:sz w:val="30"/>
        </w:rPr>
        <w:t>Routing cautions that require local review</w:t>
      </w:r>
    </w:p>
    <w:p>
      <w:pPr>
        <w:spacing w:before="0" w:after="100" w:line="247" w:lineRule="auto"/>
      </w:pPr>
      <w:r>
        <w:rPr>
          <w:rFonts w:ascii="Georgia" w:hAnsi="Georgia"/>
          <w:b w:val="0"/>
          <w:i w:val="0"/>
          <w:color w:val="1F2937"/>
          <w:sz w:val="20"/>
        </w:rPr>
        <w:t>Spanish-speaking minor with no specimen request. The DIC-25S layout may not provide the same ground shown on the English form. Confirm the current procedure with DPS and the prosecutor before relying on this route.</w:t>
      </w:r>
    </w:p>
    <w:p>
      <w:pPr>
        <w:spacing w:before="0" w:after="120" w:line="247" w:lineRule="auto"/>
      </w:pPr>
      <w:r>
        <w:rPr>
          <w:rFonts w:ascii="Georgia" w:hAnsi="Georgia"/>
          <w:b w:val="0"/>
          <w:i w:val="0"/>
          <w:color w:val="1F2937"/>
          <w:sz w:val="20"/>
        </w:rPr>
        <w:t>Commercial driver's license holder in a personal vehicle. Confirm when DIC-57 applies and how the agency handles service before relying on the workbook's recommendation.</w:t>
      </w:r>
    </w:p>
    <w:p>
      <w:pPr>
        <w:pStyle w:val="Heading1"/>
        <w:spacing w:before="80" w:after="80" w:line="240" w:lineRule="auto"/>
        <w:keepNext/>
        <w:keepLines/>
      </w:pPr>
      <w:r>
        <w:rPr>
          <w:rFonts w:ascii="Aptos" w:hAnsi="Aptos"/>
          <w:b/>
          <w:i w:val="0"/>
          <w:color w:val="000000"/>
          <w:sz w:val="30"/>
        </w:rPr>
        <w:t>Training boundary</w:t>
      </w:r>
    </w:p>
    <w:p>
      <w:pPr>
        <w:spacing w:before="0" w:after="0" w:line="247" w:lineRule="auto"/>
      </w:pPr>
      <w:r>
        <w:rPr>
          <w:rFonts w:ascii="Georgia" w:hAnsi="Georgia"/>
          <w:b/>
          <w:i w:val="0"/>
          <w:color w:val="1F2937"/>
          <w:sz w:val="20"/>
        </w:rPr>
        <w:t>The learner must verify every fictional fact and exercise result. This packet is not approved for filing, service, enforcement, or operational use. No court, county, agency, prosecutor, or DPS approval is implied.</w:t>
      </w:r>
    </w:p>
    <w:sectPr w:rsidR="00FC693F" w:rsidRPr="0006063C" w:rsidSect="00034616">
      <w:headerReference w:type="default" r:id="rId9"/>
      <w:footerReference w:type="default" r:id="rId10"/>
      <w:pgSz w:w="12240" w:h="15840"/>
      <w:pgMar w:top="893" w:right="1037" w:bottom="893"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80"/>
      <w:jc w:val="center"/>
    </w:pPr>
    <w:r>
      <w:rPr>
        <w:rFonts w:ascii="Georgia" w:hAnsi="Georgia"/>
        <w:color w:val="555555"/>
        <w:sz w:val="17"/>
      </w:rPr>
      <w:t xml:space="preserve">Training and reference use only  |  Version 1.0.3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56032" cy="256032"/>
          <wp:docPr id="1" name="Picture 1"/>
          <wp:cNvGraphicFramePr>
            <a:graphicFrameLocks noChangeAspect="1"/>
          </wp:cNvGraphicFramePr>
          <a:graphic>
            <a:graphicData uri="http://schemas.openxmlformats.org/drawingml/2006/picture">
              <pic:pic>
                <pic:nvPicPr>
                  <pic:cNvPr id="0" name="favicon.svg.png"/>
                  <pic:cNvPicPr/>
                </pic:nvPicPr>
                <pic:blipFill>
                  <a:blip r:embed="rId1"/>
                  <a:stretch>
                    <a:fillRect/>
                  </a:stretch>
                </pic:blipFill>
                <pic:spPr>
                  <a:xfrm>
                    <a:off x="0" y="0"/>
                    <a:ext cx="256032" cy="256032"/>
                  </a:xfrm>
                  <a:prstGeom prst="rect"/>
                </pic:spPr>
              </pic:pic>
            </a:graphicData>
          </a:graphic>
        </wp:inline>
      </w:drawing>
    </w:r>
    <w:r>
      <w:t xml:space="preserve">  </w:t>
    </w:r>
    <w:r>
      <w:rPr>
        <w:rFonts w:ascii="Aptos" w:hAnsi="Aptos"/>
        <w:b/>
        <w:color w:val="003057"/>
        <w:sz w:val="16"/>
      </w:rPr>
      <w:t>FIELD NOTES PRO  |  TEXAS DWI PACKET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Georgia" w:hAnsi="Georgia"/>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ptos" w:hAnsi="Aptos"/>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ascii="Aptos" w:hAnsi="Aptos"/>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ptos" w:hAnsi="Aptos"/>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epHeading">
    <w:name w:val="Step Heading"/>
    <w:pPr>
      <w:keepNext/>
      <w:spacing w:before="100" w:after="20"/>
    </w:pPr>
    <w:rPr>
      <w:rFonts w:ascii="Aptos" w:hAnsi="Aptos"/>
      <w:b/>
      <w:color w:val="003057"/>
      <w:sz w:val="20"/>
    </w:rPr>
  </w:style>
  <w:style w:type="paragraph" w:customStyle="1" w:styleId="StepBody">
    <w:name w:val="Step Body"/>
    <w:basedOn w:val="Normal"/>
    <w:pPr>
      <w:spacing w:after="60"/>
      <w:ind w:left="288"/>
    </w:pPr>
    <w:rPr>
      <w:rFonts w:ascii="Aptos" w:hAnsi="Aptos"/>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3640</Characters>
  <Application>Microsoft Office Word</Application>
  <DocSecurity>0</DocSecurity>
  <Lines>0</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DWI Packet Quick Start Guide v1.0.3</dc:title>
  <dc:subject>Fictional training workbook and standalone warrant template instructions</dc:subject>
  <dc:creator>Nathan Wells</dc:creator>
  <cp:keywords>Texas DWI, fictional training, workbook, quick start</cp:keywords>
  <dc:description>Training-only guide. Do not enter real CJI or PII.</dc:description>
  <cp:lastModifiedBy>Nathan Wells</cp:lastModifiedBy>
  <dcterms:created xsi:type="dcterms:W3CDTF">2026-09-14T00:00:00Z</dcterms:created>
  <dcterms:modified xsi:type="dcterms:W3CDTF">2026-09-14T00:00:00Z</dcterms:modified>
  <cp:category>Field Notes Pro Training Resource</cp:category>
</cp:coreProperties>
</file>